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6B83">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14:paraId="7D488DBA">
      <w:pPr>
        <w:widowControl/>
        <w:spacing w:line="360" w:lineRule="auto"/>
        <w:jc w:val="center"/>
        <w:rPr>
          <w:rFonts w:asciiTheme="minorHAnsi" w:hAnsiTheme="minorHAnsi" w:eastAsiaTheme="majorEastAsia" w:cstheme="minorHAnsi"/>
          <w:b/>
          <w:kern w:val="0"/>
          <w:sz w:val="32"/>
          <w:szCs w:val="21"/>
        </w:rPr>
      </w:pPr>
    </w:p>
    <w:p w14:paraId="3E967B58">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14:paraId="02D78211">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14:paraId="40CCBF23">
      <w:pPr>
        <w:widowControl/>
        <w:spacing w:line="360" w:lineRule="auto"/>
        <w:jc w:val="left"/>
        <w:rPr>
          <w:rFonts w:asciiTheme="minorHAnsi" w:hAnsiTheme="minorHAnsi" w:eastAsiaTheme="majorEastAsia" w:cstheme="minorHAnsi"/>
          <w:kern w:val="0"/>
          <w:szCs w:val="21"/>
        </w:rPr>
      </w:pPr>
    </w:p>
    <w:p w14:paraId="1D1523EC">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14:paraId="4E559C55">
      <w:pPr>
        <w:widowControl/>
        <w:spacing w:line="360" w:lineRule="auto"/>
        <w:ind w:left="420"/>
        <w:jc w:val="left"/>
        <w:rPr>
          <w:rFonts w:cs="Calibri" w:asciiTheme="minorHAnsi" w:hAnsiTheme="minorHAnsi"/>
          <w:szCs w:val="21"/>
        </w:rPr>
      </w:pPr>
      <w:r>
        <w:rPr>
          <w:rFonts w:hint="eastAsia" w:asciiTheme="minorHAnsi" w:hAnsiTheme="minorHAnsi" w:eastAsiaTheme="majorEastAsia" w:cstheme="minorHAnsi"/>
          <w:kern w:val="0"/>
          <w:szCs w:val="21"/>
        </w:rPr>
        <w:t>美国加州大学圣地亚哥分校是加州大学系统的十大分校之一，也</w:t>
      </w:r>
      <w:r>
        <w:rPr>
          <w:rFonts w:hint="eastAsia" w:cs="Calibri" w:asciiTheme="minorHAnsi" w:hAnsiTheme="minorHAnsi"/>
          <w:szCs w:val="21"/>
        </w:rPr>
        <w:t>是享誉世界的著名研</w:t>
      </w:r>
    </w:p>
    <w:p w14:paraId="3E93C9EA">
      <w:pPr>
        <w:widowControl/>
        <w:spacing w:line="360" w:lineRule="auto"/>
        <w:jc w:val="left"/>
        <w:rPr>
          <w:rFonts w:cs="Calibri" w:asciiTheme="minorHAnsi" w:hAnsiTheme="minorHAnsi"/>
          <w:szCs w:val="21"/>
        </w:rPr>
      </w:pPr>
      <w:r>
        <w:rPr>
          <w:rFonts w:hint="eastAsia" w:cs="Calibri" w:asciiTheme="minorHAnsi" w:hAnsiTheme="minorHAnsi"/>
          <w:szCs w:val="21"/>
        </w:rPr>
        <w:t>究型大学</w:t>
      </w:r>
      <w:r>
        <w:rPr>
          <w:rFonts w:hint="eastAsia" w:asciiTheme="minorHAnsi" w:hAnsiTheme="minorHAnsi" w:eastAsiaTheme="majorEastAsia" w:cstheme="minorHAnsi"/>
          <w:kern w:val="0"/>
          <w:szCs w:val="21"/>
        </w:rPr>
        <w:t>。全美国际教育协会作为</w:t>
      </w:r>
      <w:r>
        <w:rPr>
          <w:rFonts w:hint="eastAsia" w:asciiTheme="minorHAnsi" w:hAnsiTheme="minorHAnsi" w:eastAsiaTheme="majorEastAsia" w:cstheme="minorHAnsi"/>
          <w:szCs w:val="21"/>
        </w:rPr>
        <w:t>加州大学圣地亚哥分校</w:t>
      </w:r>
      <w:r>
        <w:rPr>
          <w:rFonts w:hint="eastAsia" w:asciiTheme="minorHAnsi" w:hAnsiTheme="minorHAnsi" w:eastAsiaTheme="majorEastAsia" w:cstheme="minorHAnsi"/>
          <w:kern w:val="0"/>
          <w:szCs w:val="21"/>
        </w:rPr>
        <w:t>在中国的正式授权机构，负责选拔优秀中国大学生，于2026年春季前往</w:t>
      </w:r>
      <w:r>
        <w:rPr>
          <w:rFonts w:hint="eastAsia" w:asciiTheme="minorHAnsi" w:hAnsiTheme="minorHAnsi" w:eastAsiaTheme="majorEastAsia" w:cstheme="minorHAnsi"/>
          <w:szCs w:val="21"/>
        </w:rPr>
        <w:t>加州大学圣地亚哥分校</w:t>
      </w:r>
      <w:r>
        <w:rPr>
          <w:rFonts w:hint="eastAsia" w:asciiTheme="minorHAnsi" w:hAnsiTheme="minorHAnsi" w:eastAsiaTheme="majorEastAsia" w:cstheme="minorHAnsi"/>
          <w:kern w:val="0"/>
          <w:szCs w:val="21"/>
        </w:rPr>
        <w:t>参加</w:t>
      </w:r>
      <w:r>
        <w:rPr>
          <w:rFonts w:hint="eastAsia" w:asciiTheme="minorHAnsi" w:hAnsiTheme="minorHAnsi" w:eastAsiaTheme="majorEastAsia" w:cstheme="minorHAnsi"/>
          <w:szCs w:val="21"/>
        </w:rPr>
        <w:t>访学项目。</w:t>
      </w:r>
      <w:r>
        <w:rPr>
          <w:rFonts w:hint="eastAsia" w:asciiTheme="minorHAnsi" w:hAnsiTheme="minorHAnsi" w:eastAsiaTheme="majorEastAsia" w:cstheme="minorHAnsi"/>
          <w:kern w:val="0"/>
          <w:szCs w:val="21"/>
        </w:rPr>
        <w:t>项目学生可根据自身的英语水平与实际学习需求，参加专业学分课程。学生将与其它国际学生或在读学生混班上课，</w:t>
      </w:r>
      <w:r>
        <w:rPr>
          <w:rFonts w:hint="eastAsia" w:asciiTheme="minorHAnsi" w:hAnsiTheme="minorHAnsi" w:eastAsiaTheme="majorEastAsia" w:cstheme="minorHAnsi"/>
          <w:szCs w:val="21"/>
        </w:rPr>
        <w:t xml:space="preserve">由加州大学圣地亚哥进行统一的学术管理与学术考核，并可获得加州大学圣地亚哥出具的成绩单与正式学分。 </w:t>
      </w:r>
    </w:p>
    <w:p w14:paraId="2017A7FE">
      <w:pPr>
        <w:widowControl/>
        <w:spacing w:line="360" w:lineRule="auto"/>
        <w:ind w:firstLine="420" w:firstLineChars="200"/>
        <w:jc w:val="left"/>
        <w:rPr>
          <w:rFonts w:asciiTheme="minorHAnsi" w:hAnsiTheme="minorHAnsi" w:eastAsiaTheme="majorEastAsia" w:cstheme="minorHAnsi"/>
          <w:szCs w:val="21"/>
        </w:rPr>
      </w:pPr>
    </w:p>
    <w:p w14:paraId="266AE2C5">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二、加州大学圣地亚哥分校简介</w:t>
      </w:r>
    </w:p>
    <w:p w14:paraId="316F9CCF">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；2025年USNEWS全球大学排名21；</w:t>
      </w:r>
      <w:r>
        <w:rPr>
          <w:rFonts w:asciiTheme="minorHAnsi" w:hAnsiTheme="minorHAnsi" w:cstheme="minorHAnsi"/>
          <w:szCs w:val="21"/>
        </w:rPr>
        <w:t>20</w:t>
      </w:r>
      <w:r>
        <w:rPr>
          <w:rFonts w:hint="eastAsia" w:asciiTheme="minorHAnsi" w:hAnsiTheme="minorHAnsi" w:cstheme="minorHAnsi"/>
          <w:szCs w:val="21"/>
        </w:rPr>
        <w:t>25年</w:t>
      </w:r>
      <w:r>
        <w:rPr>
          <w:rFonts w:asciiTheme="minorHAnsi" w:hAnsiTheme="minorHAnsi" w:cstheme="minorHAnsi"/>
          <w:szCs w:val="21"/>
        </w:rPr>
        <w:t>Times世界大学排名第</w:t>
      </w:r>
      <w:r>
        <w:rPr>
          <w:rFonts w:hint="eastAsia" w:asciiTheme="minorHAnsi" w:hAnsiTheme="minorHAnsi" w:cstheme="minorHAnsi"/>
          <w:szCs w:val="21"/>
        </w:rPr>
        <w:t>34</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20</w:t>
      </w:r>
      <w:r>
        <w:rPr>
          <w:rFonts w:asciiTheme="minorHAnsi" w:hAnsiTheme="minorHAnsi" w:eastAsiaTheme="majorEastAsia" w:cstheme="minorHAnsi"/>
          <w:szCs w:val="21"/>
        </w:rPr>
        <w:t>2</w:t>
      </w:r>
      <w:r>
        <w:rPr>
          <w:rFonts w:hint="eastAsia" w:asciiTheme="minorHAnsi" w:hAnsiTheme="minorHAnsi" w:eastAsiaTheme="majorEastAsia" w:cstheme="minorHAnsi"/>
          <w:szCs w:val="21"/>
        </w:rPr>
        <w:t>5</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19；</w:t>
      </w:r>
    </w:p>
    <w:p w14:paraId="54003963">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hint="eastAsia" w:ascii="Arial" w:hAnsi="Arial" w:cs="Arial"/>
          <w:color w:val="333333"/>
          <w:szCs w:val="21"/>
          <w:shd w:val="clear" w:color="auto" w:fill="FFFFFF"/>
        </w:rPr>
        <w:t>强势专业包括生物、化学、基因学、药学、动植物学、工程、计算机科学、社会科学等；</w:t>
      </w:r>
    </w:p>
    <w:p w14:paraId="0543FB77">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w:t>
      </w:r>
      <w:r>
        <w:rPr>
          <w:rFonts w:hint="eastAsia" w:asciiTheme="minorHAnsi" w:hAnsiTheme="minorHAnsi" w:cstheme="minorHAnsi"/>
          <w:kern w:val="0"/>
          <w:szCs w:val="21"/>
        </w:rPr>
        <w:t>西南部的海滨城市</w:t>
      </w:r>
      <w:r>
        <w:rPr>
          <w:rFonts w:asciiTheme="minorHAnsi" w:hAnsiTheme="minorHAnsi" w:cstheme="minorHAnsi"/>
          <w:kern w:val="0"/>
          <w:szCs w:val="21"/>
        </w:rPr>
        <w:t>圣地亚哥</w:t>
      </w:r>
      <w:r>
        <w:rPr>
          <w:rFonts w:hint="eastAsia" w:asciiTheme="minorHAnsi" w:hAnsiTheme="minorHAnsi" w:cstheme="minorHAnsi"/>
          <w:kern w:val="0"/>
          <w:szCs w:val="21"/>
        </w:rPr>
        <w:t>，风景优美常年阳光灿烂，是美国商业、科技和教育都十分发达的地区</w:t>
      </w:r>
      <w:r>
        <w:rPr>
          <w:rFonts w:asciiTheme="minorHAnsi" w:hAnsiTheme="minorHAnsi" w:cstheme="minorHAnsi"/>
          <w:kern w:val="0"/>
          <w:szCs w:val="21"/>
        </w:rPr>
        <w:t>。</w:t>
      </w:r>
    </w:p>
    <w:p w14:paraId="4D5FFA48">
      <w:pPr>
        <w:spacing w:line="360" w:lineRule="auto"/>
        <w:rPr>
          <w:rFonts w:ascii="Arial" w:hAnsi="Arial" w:cs="Arial"/>
          <w:color w:val="333333"/>
          <w:szCs w:val="21"/>
          <w:shd w:val="clear" w:color="auto" w:fill="FFFFFF"/>
        </w:rPr>
      </w:pPr>
    </w:p>
    <w:p w14:paraId="4BE9C4CE">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三、项目详情</w:t>
      </w:r>
    </w:p>
    <w:p w14:paraId="1C21667C">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588E8724">
      <w:pPr>
        <w:widowControl/>
        <w:spacing w:line="360" w:lineRule="auto"/>
        <w:ind w:firstLine="422" w:firstLineChars="200"/>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专业学分课程：2</w:t>
      </w:r>
      <w:r>
        <w:rPr>
          <w:rFonts w:asciiTheme="minorHAnsi" w:hAnsiTheme="minorHAnsi" w:eastAsiaTheme="majorEastAsia" w:cstheme="minorHAnsi"/>
          <w:b/>
          <w:szCs w:val="21"/>
        </w:rPr>
        <w:t>02</w:t>
      </w:r>
      <w:r>
        <w:rPr>
          <w:rFonts w:hint="eastAsia" w:asciiTheme="minorHAnsi" w:hAnsiTheme="minorHAnsi" w:eastAsiaTheme="majorEastAsia" w:cstheme="minorHAnsi"/>
          <w:b/>
          <w:szCs w:val="21"/>
        </w:rPr>
        <w:t xml:space="preserve">6年3月23日 </w:t>
      </w:r>
      <w:r>
        <w:rPr>
          <w:rFonts w:asciiTheme="minorHAnsi" w:hAnsiTheme="minorHAnsi" w:eastAsiaTheme="majorEastAsia" w:cstheme="minorHAnsi"/>
          <w:b/>
          <w:szCs w:val="21"/>
        </w:rPr>
        <w:t xml:space="preserve">– </w:t>
      </w:r>
      <w:r>
        <w:rPr>
          <w:rFonts w:hint="eastAsia" w:asciiTheme="minorHAnsi" w:hAnsiTheme="minorHAnsi" w:eastAsiaTheme="majorEastAsia" w:cstheme="minorHAnsi"/>
          <w:b/>
          <w:szCs w:val="21"/>
        </w:rPr>
        <w:t>6月12日</w:t>
      </w:r>
    </w:p>
    <w:p w14:paraId="0AD65353">
      <w:pPr>
        <w:widowControl/>
        <w:spacing w:line="360" w:lineRule="auto"/>
        <w:jc w:val="left"/>
        <w:rPr>
          <w:rFonts w:asciiTheme="minorHAnsi" w:hAnsiTheme="minorHAnsi" w:eastAsiaTheme="majorEastAsia" w:cstheme="minorHAnsi"/>
          <w:b/>
          <w:szCs w:val="21"/>
        </w:rPr>
      </w:pPr>
      <w:r>
        <w:rPr>
          <w:rFonts w:asciiTheme="minorHAnsi" w:hAnsiTheme="minorHAnsi" w:eastAsiaTheme="majorEastAsia" w:cstheme="minorHAnsi"/>
          <w:b/>
          <w:szCs w:val="21"/>
        </w:rPr>
        <w:br w:type="textWrapping"/>
      </w:r>
    </w:p>
    <w:p w14:paraId="6B220BF1">
      <w:pPr>
        <w:widowControl/>
        <w:spacing w:line="360" w:lineRule="auto"/>
        <w:jc w:val="left"/>
        <w:rPr>
          <w:rFonts w:asciiTheme="minorHAnsi" w:hAnsiTheme="minorHAnsi" w:eastAsiaTheme="majorEastAsia" w:cstheme="minorHAnsi"/>
          <w:b/>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r>
        <w:rPr>
          <w:rFonts w:hint="eastAsia" w:asciiTheme="minorHAnsi" w:hAnsiTheme="minorHAnsi" w:eastAsiaTheme="majorEastAsia" w:cstheme="minorHAnsi"/>
          <w:b/>
          <w:szCs w:val="21"/>
        </w:rPr>
        <w:t>专业学分课程</w:t>
      </w:r>
    </w:p>
    <w:p w14:paraId="1821FA32">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测试成绩达到项目要求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本校、全美国际教育协会、以及加州大学圣地亚哥分校的共同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可以与圣地亚哥分校</w:t>
      </w:r>
      <w:r>
        <w:rPr>
          <w:rFonts w:asciiTheme="minorHAnsi" w:hAnsiTheme="minorHAnsi" w:eastAsiaTheme="majorEastAsia" w:cstheme="minorHAnsi"/>
          <w:szCs w:val="21"/>
        </w:rPr>
        <w:t>本科学生一起学习</w:t>
      </w:r>
      <w:r>
        <w:rPr>
          <w:rFonts w:hint="eastAsia" w:asciiTheme="minorHAnsi" w:hAnsiTheme="minorHAnsi" w:eastAsiaTheme="majorEastAsia" w:cstheme="minorHAnsi"/>
          <w:szCs w:val="21"/>
        </w:rPr>
        <w:t>与本专业相关的</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 xml:space="preserve">，学习优异的学生还可以选修研究生课程。 </w:t>
      </w:r>
    </w:p>
    <w:p w14:paraId="02B6CD03">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面向大多数专业的学生，可选课程范围包括生物工程、电子工程、机械工程、航空航天工程、生物学、分子生物学、海洋生物学、物理、化学、数学、计算机科学、商科、传播学、经济学、国际关系、政治科学、历史、心理学、视觉艺术、戏剧舞蹈等等。</w:t>
      </w:r>
    </w:p>
    <w:p w14:paraId="7B9E5535">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加州大学圣地亚哥分校的专业学分课程根据学生的英语成绩，采取三档不同的录取标准：</w:t>
      </w:r>
    </w:p>
    <w:p w14:paraId="519CF5DF">
      <w:pPr>
        <w:widowControl/>
        <w:spacing w:line="360" w:lineRule="auto"/>
        <w:ind w:firstLine="420" w:firstLineChars="200"/>
        <w:jc w:val="left"/>
        <w:rPr>
          <w:rFonts w:asciiTheme="minorHAnsi" w:hAnsiTheme="minorHAnsi" w:eastAsiaTheme="majorEastAsia" w:cstheme="minorHAnsi"/>
          <w:szCs w:val="21"/>
          <w:highlight w:val="none"/>
        </w:rPr>
      </w:pPr>
      <w:r>
        <w:rPr>
          <w:rFonts w:hint="eastAsia" w:asciiTheme="minorHAnsi" w:hAnsiTheme="minorHAnsi" w:eastAsiaTheme="majorEastAsia" w:cstheme="minorHAnsi"/>
          <w:szCs w:val="21"/>
          <w:highlight w:val="none"/>
        </w:rPr>
        <w:t>级别一：如托福达到</w:t>
      </w:r>
      <w:r>
        <w:rPr>
          <w:rFonts w:asciiTheme="minorHAnsi" w:hAnsiTheme="minorHAnsi" w:eastAsiaTheme="majorEastAsia" w:cstheme="minorHAnsi"/>
          <w:szCs w:val="21"/>
          <w:highlight w:val="none"/>
        </w:rPr>
        <w:t>79</w:t>
      </w:r>
      <w:r>
        <w:rPr>
          <w:rFonts w:hint="eastAsia" w:asciiTheme="minorHAnsi" w:hAnsiTheme="minorHAnsi" w:eastAsiaTheme="majorEastAsia" w:cstheme="minorHAnsi"/>
          <w:szCs w:val="21"/>
          <w:highlight w:val="none"/>
        </w:rPr>
        <w:t>，或雅思达到6.5，或D</w:t>
      </w:r>
      <w:r>
        <w:rPr>
          <w:rFonts w:asciiTheme="minorHAnsi" w:hAnsiTheme="minorHAnsi" w:eastAsiaTheme="majorEastAsia" w:cstheme="minorHAnsi"/>
          <w:szCs w:val="21"/>
          <w:highlight w:val="none"/>
        </w:rPr>
        <w:t>uolingo 110</w:t>
      </w:r>
      <w:r>
        <w:rPr>
          <w:rFonts w:hint="eastAsia" w:asciiTheme="minorHAnsi" w:hAnsiTheme="minorHAnsi" w:eastAsiaTheme="majorEastAsia" w:cstheme="minorHAnsi"/>
          <w:szCs w:val="21"/>
          <w:highlight w:val="none"/>
        </w:rPr>
        <w:t>，学生可选择最多4学分的主校区课程，3学分的英语提升课程，以及5学分的Extension课程（如商科、工程、计算机科学等）；</w:t>
      </w:r>
    </w:p>
    <w:p w14:paraId="79F5E713">
      <w:pPr>
        <w:widowControl/>
        <w:spacing w:line="360" w:lineRule="auto"/>
        <w:ind w:firstLine="420" w:firstLineChars="200"/>
        <w:jc w:val="left"/>
        <w:rPr>
          <w:rFonts w:asciiTheme="minorHAnsi" w:hAnsiTheme="minorHAnsi" w:eastAsiaTheme="majorEastAsia" w:cstheme="minorHAnsi"/>
          <w:szCs w:val="21"/>
          <w:highlight w:val="none"/>
        </w:rPr>
      </w:pPr>
      <w:r>
        <w:rPr>
          <w:rFonts w:hint="eastAsia" w:asciiTheme="minorHAnsi" w:hAnsiTheme="minorHAnsi" w:eastAsiaTheme="majorEastAsia" w:cstheme="minorHAnsi"/>
          <w:szCs w:val="21"/>
          <w:highlight w:val="none"/>
        </w:rPr>
        <w:t>级别二：如托福达到8</w:t>
      </w:r>
      <w:r>
        <w:rPr>
          <w:rFonts w:asciiTheme="minorHAnsi" w:hAnsiTheme="minorHAnsi" w:eastAsiaTheme="majorEastAsia" w:cstheme="minorHAnsi"/>
          <w:szCs w:val="21"/>
          <w:highlight w:val="none"/>
        </w:rPr>
        <w:t>3</w:t>
      </w:r>
      <w:r>
        <w:rPr>
          <w:rFonts w:hint="eastAsia" w:asciiTheme="minorHAnsi" w:hAnsiTheme="minorHAnsi" w:eastAsiaTheme="majorEastAsia" w:cstheme="minorHAnsi"/>
          <w:szCs w:val="21"/>
          <w:highlight w:val="none"/>
        </w:rPr>
        <w:t>，或雅思达到7.0，或D</w:t>
      </w:r>
      <w:r>
        <w:rPr>
          <w:rFonts w:asciiTheme="minorHAnsi" w:hAnsiTheme="minorHAnsi" w:eastAsiaTheme="majorEastAsia" w:cstheme="minorHAnsi"/>
          <w:szCs w:val="21"/>
          <w:highlight w:val="none"/>
        </w:rPr>
        <w:t>uolingo 115</w:t>
      </w:r>
      <w:r>
        <w:rPr>
          <w:rFonts w:hint="eastAsia" w:asciiTheme="minorHAnsi" w:hAnsiTheme="minorHAnsi" w:eastAsiaTheme="majorEastAsia" w:cstheme="minorHAnsi"/>
          <w:szCs w:val="21"/>
          <w:highlight w:val="none"/>
        </w:rPr>
        <w:t>，学生可选择最多8学分的主校区课程，以及4学分的Extension课程；</w:t>
      </w:r>
    </w:p>
    <w:p w14:paraId="28E91444">
      <w:pPr>
        <w:widowControl/>
        <w:spacing w:line="360" w:lineRule="auto"/>
        <w:ind w:firstLine="420" w:firstLineChars="200"/>
        <w:jc w:val="left"/>
        <w:rPr>
          <w:rFonts w:asciiTheme="minorHAnsi" w:hAnsiTheme="minorHAnsi" w:eastAsiaTheme="majorEastAsia" w:cstheme="minorHAnsi"/>
          <w:szCs w:val="21"/>
          <w:highlight w:val="none"/>
        </w:rPr>
      </w:pPr>
      <w:r>
        <w:rPr>
          <w:rFonts w:hint="eastAsia" w:asciiTheme="minorHAnsi" w:hAnsiTheme="minorHAnsi" w:eastAsiaTheme="majorEastAsia" w:cstheme="minorHAnsi"/>
          <w:szCs w:val="21"/>
          <w:highlight w:val="none"/>
        </w:rPr>
        <w:t>级别三：如托福达到9</w:t>
      </w:r>
      <w:r>
        <w:rPr>
          <w:rFonts w:asciiTheme="minorHAnsi" w:hAnsiTheme="minorHAnsi" w:eastAsiaTheme="majorEastAsia" w:cstheme="minorHAnsi"/>
          <w:szCs w:val="21"/>
          <w:highlight w:val="none"/>
        </w:rPr>
        <w:t>5</w:t>
      </w:r>
      <w:r>
        <w:rPr>
          <w:rFonts w:hint="eastAsia" w:asciiTheme="minorHAnsi" w:hAnsiTheme="minorHAnsi" w:eastAsiaTheme="majorEastAsia" w:cstheme="minorHAnsi"/>
          <w:szCs w:val="21"/>
          <w:highlight w:val="none"/>
        </w:rPr>
        <w:t>，或雅思达到7.</w:t>
      </w:r>
      <w:r>
        <w:rPr>
          <w:rFonts w:asciiTheme="minorHAnsi" w:hAnsiTheme="minorHAnsi" w:eastAsiaTheme="majorEastAsia" w:cstheme="minorHAnsi"/>
          <w:szCs w:val="21"/>
          <w:highlight w:val="none"/>
        </w:rPr>
        <w:t>0</w:t>
      </w:r>
      <w:r>
        <w:rPr>
          <w:rFonts w:hint="eastAsia" w:asciiTheme="minorHAnsi" w:hAnsiTheme="minorHAnsi" w:eastAsiaTheme="majorEastAsia" w:cstheme="minorHAnsi"/>
          <w:szCs w:val="21"/>
          <w:highlight w:val="none"/>
        </w:rPr>
        <w:t>，</w:t>
      </w:r>
      <w:bookmarkStart w:id="0" w:name="_GoBack"/>
      <w:bookmarkEnd w:id="0"/>
      <w:r>
        <w:rPr>
          <w:rFonts w:hint="eastAsia" w:asciiTheme="minorHAnsi" w:hAnsiTheme="minorHAnsi" w:eastAsiaTheme="majorEastAsia" w:cstheme="minorHAnsi"/>
          <w:szCs w:val="21"/>
          <w:highlight w:val="none"/>
        </w:rPr>
        <w:t>或D</w:t>
      </w:r>
      <w:r>
        <w:rPr>
          <w:rFonts w:asciiTheme="minorHAnsi" w:hAnsiTheme="minorHAnsi" w:eastAsiaTheme="majorEastAsia" w:cstheme="minorHAnsi"/>
          <w:szCs w:val="21"/>
          <w:highlight w:val="none"/>
        </w:rPr>
        <w:t>uolingo 115</w:t>
      </w:r>
      <w:r>
        <w:rPr>
          <w:rFonts w:hint="eastAsia" w:asciiTheme="minorHAnsi" w:hAnsiTheme="minorHAnsi" w:eastAsiaTheme="majorEastAsia" w:cstheme="minorHAnsi"/>
          <w:szCs w:val="21"/>
          <w:highlight w:val="none"/>
        </w:rPr>
        <w:t>，学生可选择12学分的主校区课程。</w:t>
      </w:r>
      <w:r>
        <w:rPr>
          <w:rFonts w:asciiTheme="minorHAnsi" w:hAnsiTheme="minorHAnsi" w:eastAsiaTheme="majorEastAsia" w:cstheme="minorHAnsi"/>
          <w:szCs w:val="21"/>
          <w:highlight w:val="none"/>
        </w:rPr>
        <w:br w:type="textWrapping"/>
      </w:r>
      <w:r>
        <w:rPr>
          <w:rFonts w:hint="eastAsia" w:asciiTheme="minorHAnsi" w:hAnsiTheme="minorHAnsi" w:eastAsiaTheme="majorEastAsia" w:cstheme="minorHAnsi"/>
          <w:szCs w:val="21"/>
          <w:highlight w:val="none"/>
        </w:rPr>
        <w:t xml:space="preserve">    注: UCSD管理学院的研究生级别课程不对访学生开放，同时医学院及药学院也不对访学生开放。</w:t>
      </w:r>
    </w:p>
    <w:p w14:paraId="3E7BEAFA">
      <w:pPr>
        <w:widowControl/>
        <w:spacing w:line="360" w:lineRule="auto"/>
        <w:jc w:val="left"/>
        <w:rPr>
          <w:rFonts w:asciiTheme="minorHAnsi" w:hAnsiTheme="minorHAnsi" w:eastAsiaTheme="majorEastAsia" w:cstheme="minorHAnsi"/>
          <w:b/>
          <w:szCs w:val="21"/>
        </w:rPr>
      </w:pPr>
    </w:p>
    <w:p w14:paraId="44ABD87D">
      <w:pPr>
        <w:spacing w:line="360" w:lineRule="auto"/>
        <w:ind w:firstLine="420" w:firstLineChars="200"/>
        <w:rPr>
          <w:rFonts w:cs="Calibri" w:asciiTheme="minorHAnsi" w:hAnsiTheme="minorHAnsi"/>
          <w:szCs w:val="21"/>
        </w:rPr>
      </w:pPr>
      <w:r>
        <w:rPr>
          <w:rFonts w:hint="eastAsia" w:cs="Calibri" w:asciiTheme="minorHAnsi" w:hAnsiTheme="minorHAnsi"/>
          <w:szCs w:val="21"/>
        </w:rPr>
        <w:t>所有参加课程的学生均可获得加州大学圣地亚哥分校正式注册的学生证，凭借学生</w:t>
      </w:r>
    </w:p>
    <w:p w14:paraId="0125F101">
      <w:pPr>
        <w:spacing w:line="360" w:lineRule="auto"/>
        <w:rPr>
          <w:rFonts w:cs="Calibri" w:asciiTheme="minorHAnsi" w:hAnsiTheme="minorHAnsi"/>
          <w:szCs w:val="21"/>
        </w:rPr>
      </w:pPr>
      <w:r>
        <w:rPr>
          <w:rFonts w:hint="eastAsia" w:cs="Calibri" w:asciiTheme="minorHAnsi" w:hAnsiTheme="minorHAnsi"/>
          <w:szCs w:val="21"/>
        </w:rPr>
        <w:t>证可在项目期内，按校方规定使用学校的校园设施与教育资源，包括图书馆、健身房、活动中心等。此外，学生还可以参与丰富多彩的加州文化体验，如参观</w:t>
      </w:r>
      <w:r>
        <w:rPr>
          <w:rFonts w:asciiTheme="minorHAnsi" w:hAnsiTheme="minorHAnsi" w:eastAsiaTheme="majorEastAsia" w:cstheme="minorHAnsi"/>
          <w:szCs w:val="21"/>
        </w:rPr>
        <w:t>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cs="Calibri" w:asciiTheme="minorHAnsi" w:hAnsiTheme="minorHAnsi"/>
          <w:szCs w:val="21"/>
        </w:rPr>
        <w:t>。</w:t>
      </w:r>
    </w:p>
    <w:p w14:paraId="23EE1359">
      <w:pPr>
        <w:spacing w:line="360" w:lineRule="auto"/>
        <w:rPr>
          <w:rFonts w:cs="Calibri" w:asciiTheme="minorHAnsi" w:hAnsiTheme="minorHAnsi"/>
          <w:sz w:val="22"/>
          <w:szCs w:val="22"/>
        </w:rPr>
      </w:pPr>
    </w:p>
    <w:p w14:paraId="62A28612">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287B6B8C">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项目学生由加州大学圣地亚哥分校进行统一的学术管理，顺利完成所有课程，并通过学术考核的学生，将获得加州大学圣地亚哥分校出具的正式成绩单，参加专业学分课程的学生还可获得正式学分。</w:t>
      </w:r>
    </w:p>
    <w:p w14:paraId="3BB26DB9">
      <w:pPr>
        <w:spacing w:line="360" w:lineRule="auto"/>
        <w:ind w:firstLine="420" w:firstLineChars="200"/>
        <w:rPr>
          <w:rFonts w:asciiTheme="minorHAnsi" w:hAnsiTheme="minorHAnsi" w:eastAsiaTheme="majorEastAsia" w:cstheme="minorHAnsi"/>
          <w:szCs w:val="21"/>
        </w:rPr>
      </w:pPr>
    </w:p>
    <w:p w14:paraId="2F18F4B2">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14:paraId="6CC5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9" w:type="dxa"/>
          </w:tcPr>
          <w:p w14:paraId="67918CA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14:paraId="710AADC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专业学分课程：约人民币</w:t>
            </w:r>
            <w:r>
              <w:rPr>
                <w:rFonts w:asciiTheme="minorHAnsi" w:hAnsiTheme="minorHAnsi" w:eastAsiaTheme="majorEastAsia" w:cstheme="minorHAnsi"/>
                <w:szCs w:val="21"/>
              </w:rPr>
              <w:t>8.</w:t>
            </w:r>
            <w:r>
              <w:rPr>
                <w:rFonts w:hint="eastAsia" w:asciiTheme="minorHAnsi" w:hAnsiTheme="minorHAnsi" w:eastAsiaTheme="majorEastAsia" w:cstheme="minorHAnsi"/>
                <w:szCs w:val="21"/>
              </w:rPr>
              <w:t>6</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万元</w:t>
            </w:r>
          </w:p>
          <w:p w14:paraId="3A0D58D1">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注：以上为参考费用，受汇率浮动等因素影响，以最终实际缴费金额为准</w:t>
            </w:r>
          </w:p>
        </w:tc>
      </w:tr>
      <w:tr w14:paraId="356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14:paraId="7941C6CB">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14:paraId="045F1074">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申请费、学费、杂费、医疗及意外保险、接机、及项目服务费</w:t>
            </w:r>
          </w:p>
        </w:tc>
      </w:tr>
      <w:tr w14:paraId="0C4D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14:paraId="1DF12D0E">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14:paraId="352E97C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国际机票、签证费、住宿费、送机、个人生活费</w:t>
            </w:r>
          </w:p>
        </w:tc>
      </w:tr>
    </w:tbl>
    <w:p w14:paraId="6E6E1D66">
      <w:pPr>
        <w:widowControl/>
        <w:spacing w:line="360" w:lineRule="auto"/>
        <w:jc w:val="left"/>
        <w:rPr>
          <w:rFonts w:asciiTheme="minorHAnsi" w:hAnsiTheme="minorHAnsi" w:eastAsiaTheme="majorEastAsia" w:cstheme="minorHAnsi"/>
          <w:bCs/>
          <w:kern w:val="0"/>
          <w:szCs w:val="21"/>
        </w:rPr>
      </w:pPr>
    </w:p>
    <w:p w14:paraId="0B589E75">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四</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70E617D9">
      <w:pPr>
        <w:pStyle w:val="19"/>
        <w:widowControl/>
        <w:numPr>
          <w:ilvl w:val="0"/>
          <w:numId w:val="2"/>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szCs w:val="21"/>
        </w:rPr>
        <w:t>：</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专业学分课程：</w:t>
      </w:r>
      <w:r>
        <w:rPr>
          <w:rFonts w:asciiTheme="minorHAnsi" w:hAnsiTheme="minorHAnsi" w:eastAsiaTheme="majorEastAsia" w:cstheme="minorHAnsi"/>
          <w:szCs w:val="21"/>
        </w:rPr>
        <w:t>托福79</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w:t>
      </w:r>
      <w:r>
        <w:rPr>
          <w:rFonts w:hint="eastAsia" w:asciiTheme="minorHAnsi" w:hAnsiTheme="minorHAnsi" w:eastAsiaTheme="majorEastAsia" w:cstheme="minorHAnsi"/>
          <w:szCs w:val="21"/>
        </w:rPr>
        <w:t>6.5-7</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，D</w:t>
      </w:r>
      <w:r>
        <w:rPr>
          <w:rFonts w:asciiTheme="minorHAnsi" w:hAnsiTheme="minorHAnsi" w:eastAsiaTheme="majorEastAsia" w:cstheme="minorHAnsi"/>
          <w:szCs w:val="21"/>
        </w:rPr>
        <w:t>uolingo 110-115</w:t>
      </w:r>
      <w:r>
        <w:rPr>
          <w:rFonts w:hint="eastAsia" w:asciiTheme="minorHAnsi" w:hAnsiTheme="minorHAnsi" w:eastAsiaTheme="majorEastAsia" w:cstheme="minorHAnsi"/>
          <w:szCs w:val="21"/>
        </w:rPr>
        <w:t>，GPA 3.</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（4分制）以上；参加项目的学生需至少已经完成本科一个学期的学习</w:t>
      </w:r>
    </w:p>
    <w:p w14:paraId="4D9DA86A">
      <w:pPr>
        <w:pStyle w:val="19"/>
        <w:numPr>
          <w:ilvl w:val="0"/>
          <w:numId w:val="2"/>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申请方式</w:t>
      </w:r>
      <w:r>
        <w:rPr>
          <w:rFonts w:hint="eastAsia" w:asciiTheme="minorHAnsi" w:hAnsiTheme="minorHAnsi" w:eastAsiaTheme="majorEastAsia" w:cstheme="minorHAnsi"/>
          <w:b/>
          <w:kern w:val="0"/>
          <w:szCs w:val="21"/>
        </w:rPr>
        <w:t xml:space="preserve"> </w:t>
      </w:r>
      <w:r>
        <w:rPr>
          <w:rFonts w:asciiTheme="minorHAnsi" w:hAnsiTheme="minorHAnsi" w:eastAsiaTheme="majorEastAsia" w:cstheme="minorHAnsi"/>
          <w:b/>
          <w:kern w:val="0"/>
          <w:szCs w:val="21"/>
        </w:rPr>
        <w:t xml:space="preserve">- </w:t>
      </w:r>
      <w:r>
        <w:rPr>
          <w:rFonts w:hint="eastAsia" w:asciiTheme="minorHAnsi" w:hAnsiTheme="minorHAnsi" w:eastAsiaTheme="majorEastAsia" w:cstheme="minorHAnsi"/>
          <w:szCs w:val="21"/>
        </w:rPr>
        <w:t>登录全美国际教育协会网站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填写《世界名校访学项目报名表》</w:t>
      </w:r>
    </w:p>
    <w:p w14:paraId="2207BF62">
      <w:pPr>
        <w:pStyle w:val="19"/>
        <w:numPr>
          <w:ilvl w:val="0"/>
          <w:numId w:val="2"/>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szCs w:val="21"/>
        </w:rPr>
        <w:t>建议截止日期：学分项目</w:t>
      </w:r>
      <w:r>
        <w:rPr>
          <w:rFonts w:hint="eastAsia" w:asciiTheme="minorHAnsi" w:hAnsiTheme="minorHAnsi" w:eastAsiaTheme="majorEastAsia" w:cstheme="minorHAnsi"/>
          <w:szCs w:val="21"/>
        </w:rPr>
        <w:t>11</w:t>
      </w:r>
      <w:r>
        <w:rPr>
          <w:rFonts w:asciiTheme="minorHAnsi" w:hAnsiTheme="minorHAnsi" w:eastAsiaTheme="majorEastAsia" w:cstheme="minorHAnsi"/>
          <w:szCs w:val="21"/>
        </w:rPr>
        <w:t>月</w:t>
      </w:r>
      <w:r>
        <w:rPr>
          <w:rFonts w:hint="eastAsia" w:asciiTheme="minorHAnsi" w:hAnsiTheme="minorHAnsi" w:eastAsiaTheme="majorEastAsia" w:cstheme="minorHAnsi"/>
          <w:szCs w:val="21"/>
        </w:rPr>
        <w:t>25</w:t>
      </w:r>
      <w:r>
        <w:rPr>
          <w:rFonts w:asciiTheme="minorHAnsi" w:hAnsiTheme="minorHAnsi" w:eastAsiaTheme="majorEastAsia" w:cstheme="minorHAnsi"/>
          <w:szCs w:val="21"/>
        </w:rPr>
        <w:t>日</w:t>
      </w:r>
    </w:p>
    <w:p w14:paraId="35D5F6EC">
      <w:pPr>
        <w:spacing w:line="360" w:lineRule="auto"/>
        <w:ind w:left="360"/>
        <w:rPr>
          <w:rFonts w:asciiTheme="minorHAnsi" w:hAnsiTheme="minorHAnsi" w:eastAsiaTheme="majorEastAsia" w:cstheme="minorHAnsi"/>
          <w:szCs w:val="21"/>
        </w:rPr>
      </w:pPr>
    </w:p>
    <w:p w14:paraId="78CB3958">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14:paraId="53EA5F11">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20C87299">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407D2AC1">
      <w:pPr>
        <w:widowControl/>
        <w:spacing w:line="360" w:lineRule="auto"/>
        <w:jc w:val="left"/>
        <w:rPr>
          <w:rFonts w:asciiTheme="minorHAnsi" w:hAnsiTheme="minorHAnsi"/>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w:t>
      </w:r>
      <w:r>
        <w:rPr>
          <w:rStyle w:val="14"/>
          <w:rFonts w:hint="eastAsia" w:ascii="Calibri" w:hAnsi="Calibri" w:cs="Calibri"/>
          <w:kern w:val="0"/>
          <w:sz w:val="22"/>
        </w:rPr>
        <w:t>sd</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p w14:paraId="36FA1ABF">
      <w:pPr>
        <w:widowControl/>
        <w:spacing w:line="360" w:lineRule="auto"/>
        <w:jc w:val="left"/>
        <w:rPr>
          <w:rFonts w:hint="default" w:eastAsia="宋体" w:asciiTheme="minorHAnsi" w:hAnsiTheme="minorHAnsi"/>
          <w:lang w:val="en-US" w:eastAsia="zh-CN"/>
        </w:rPr>
      </w:pPr>
      <w:r>
        <w:rPr>
          <w:rFonts w:hint="eastAsia" w:asciiTheme="minorHAnsi" w:hAnsiTheme="minorHAnsi"/>
          <w:lang w:val="en-US" w:eastAsia="zh-CN"/>
        </w:rPr>
        <w:t>申请截止日期：2025.11.28</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5FA9">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500A8F"/>
    <w:rsid w:val="00002E62"/>
    <w:rsid w:val="000035D7"/>
    <w:rsid w:val="0000590A"/>
    <w:rsid w:val="00006712"/>
    <w:rsid w:val="000067A6"/>
    <w:rsid w:val="00010F31"/>
    <w:rsid w:val="000169DD"/>
    <w:rsid w:val="00020D7D"/>
    <w:rsid w:val="000224CC"/>
    <w:rsid w:val="00022AFD"/>
    <w:rsid w:val="00022EC3"/>
    <w:rsid w:val="000230BD"/>
    <w:rsid w:val="00023476"/>
    <w:rsid w:val="000236D2"/>
    <w:rsid w:val="00024C64"/>
    <w:rsid w:val="00025206"/>
    <w:rsid w:val="0003068E"/>
    <w:rsid w:val="000306C9"/>
    <w:rsid w:val="00030A02"/>
    <w:rsid w:val="00031403"/>
    <w:rsid w:val="00032519"/>
    <w:rsid w:val="00033EED"/>
    <w:rsid w:val="0003431E"/>
    <w:rsid w:val="00035CA7"/>
    <w:rsid w:val="000360F9"/>
    <w:rsid w:val="000362BD"/>
    <w:rsid w:val="00040016"/>
    <w:rsid w:val="000402B0"/>
    <w:rsid w:val="00040DF8"/>
    <w:rsid w:val="00041148"/>
    <w:rsid w:val="00041BDA"/>
    <w:rsid w:val="00044B87"/>
    <w:rsid w:val="00046229"/>
    <w:rsid w:val="000519A2"/>
    <w:rsid w:val="00051A3D"/>
    <w:rsid w:val="00051C48"/>
    <w:rsid w:val="0005389A"/>
    <w:rsid w:val="00055B47"/>
    <w:rsid w:val="00055D6D"/>
    <w:rsid w:val="00060047"/>
    <w:rsid w:val="0006181E"/>
    <w:rsid w:val="00063191"/>
    <w:rsid w:val="00065242"/>
    <w:rsid w:val="00067D4B"/>
    <w:rsid w:val="000743CE"/>
    <w:rsid w:val="000820F9"/>
    <w:rsid w:val="000840CC"/>
    <w:rsid w:val="000860BB"/>
    <w:rsid w:val="00087DB0"/>
    <w:rsid w:val="0009206E"/>
    <w:rsid w:val="000954F4"/>
    <w:rsid w:val="00097910"/>
    <w:rsid w:val="00097FB0"/>
    <w:rsid w:val="000A0A86"/>
    <w:rsid w:val="000A2A22"/>
    <w:rsid w:val="000A3516"/>
    <w:rsid w:val="000A3597"/>
    <w:rsid w:val="000A4030"/>
    <w:rsid w:val="000A4429"/>
    <w:rsid w:val="000A5251"/>
    <w:rsid w:val="000A5300"/>
    <w:rsid w:val="000B1A29"/>
    <w:rsid w:val="000B24CB"/>
    <w:rsid w:val="000B34D6"/>
    <w:rsid w:val="000B78A1"/>
    <w:rsid w:val="000C058A"/>
    <w:rsid w:val="000C0A27"/>
    <w:rsid w:val="000C289F"/>
    <w:rsid w:val="000C2F7C"/>
    <w:rsid w:val="000C3F5B"/>
    <w:rsid w:val="000C4E56"/>
    <w:rsid w:val="000C5C18"/>
    <w:rsid w:val="000C7850"/>
    <w:rsid w:val="000C7F9A"/>
    <w:rsid w:val="000D1A58"/>
    <w:rsid w:val="000D3060"/>
    <w:rsid w:val="000D4BC5"/>
    <w:rsid w:val="000E1209"/>
    <w:rsid w:val="000E192A"/>
    <w:rsid w:val="000E3767"/>
    <w:rsid w:val="000E4C3F"/>
    <w:rsid w:val="000E5365"/>
    <w:rsid w:val="000E71FC"/>
    <w:rsid w:val="000E73ED"/>
    <w:rsid w:val="000E7915"/>
    <w:rsid w:val="000F10F6"/>
    <w:rsid w:val="000F140D"/>
    <w:rsid w:val="000F168E"/>
    <w:rsid w:val="000F253C"/>
    <w:rsid w:val="000F6E7C"/>
    <w:rsid w:val="001013E1"/>
    <w:rsid w:val="001014E7"/>
    <w:rsid w:val="0010196F"/>
    <w:rsid w:val="001051AF"/>
    <w:rsid w:val="001051F4"/>
    <w:rsid w:val="00106BA3"/>
    <w:rsid w:val="00107687"/>
    <w:rsid w:val="00110263"/>
    <w:rsid w:val="00110B1F"/>
    <w:rsid w:val="00110EDA"/>
    <w:rsid w:val="0011231F"/>
    <w:rsid w:val="00112B60"/>
    <w:rsid w:val="00112EFC"/>
    <w:rsid w:val="001131EA"/>
    <w:rsid w:val="00116EF3"/>
    <w:rsid w:val="00120A5E"/>
    <w:rsid w:val="0012340B"/>
    <w:rsid w:val="0012488E"/>
    <w:rsid w:val="00124B0D"/>
    <w:rsid w:val="00125024"/>
    <w:rsid w:val="00125172"/>
    <w:rsid w:val="00125AEC"/>
    <w:rsid w:val="00127C1E"/>
    <w:rsid w:val="00127FE8"/>
    <w:rsid w:val="00131D30"/>
    <w:rsid w:val="00132BB5"/>
    <w:rsid w:val="00134011"/>
    <w:rsid w:val="001355A4"/>
    <w:rsid w:val="00135F93"/>
    <w:rsid w:val="0013632A"/>
    <w:rsid w:val="00137744"/>
    <w:rsid w:val="00143294"/>
    <w:rsid w:val="00146AB9"/>
    <w:rsid w:val="00147A3E"/>
    <w:rsid w:val="00150134"/>
    <w:rsid w:val="0016167D"/>
    <w:rsid w:val="00162E33"/>
    <w:rsid w:val="00164627"/>
    <w:rsid w:val="00167799"/>
    <w:rsid w:val="00167C8D"/>
    <w:rsid w:val="00170451"/>
    <w:rsid w:val="00173281"/>
    <w:rsid w:val="0017377D"/>
    <w:rsid w:val="001738F0"/>
    <w:rsid w:val="00175F78"/>
    <w:rsid w:val="00176F21"/>
    <w:rsid w:val="00182E04"/>
    <w:rsid w:val="001834A2"/>
    <w:rsid w:val="00183A23"/>
    <w:rsid w:val="001852AE"/>
    <w:rsid w:val="00186190"/>
    <w:rsid w:val="00187542"/>
    <w:rsid w:val="00192C0F"/>
    <w:rsid w:val="00195824"/>
    <w:rsid w:val="00196273"/>
    <w:rsid w:val="00196CE1"/>
    <w:rsid w:val="001A0C7A"/>
    <w:rsid w:val="001A2636"/>
    <w:rsid w:val="001A281F"/>
    <w:rsid w:val="001A7D56"/>
    <w:rsid w:val="001B1730"/>
    <w:rsid w:val="001B1DAA"/>
    <w:rsid w:val="001B2069"/>
    <w:rsid w:val="001B600B"/>
    <w:rsid w:val="001C1A51"/>
    <w:rsid w:val="001C684A"/>
    <w:rsid w:val="001C6985"/>
    <w:rsid w:val="001D2C48"/>
    <w:rsid w:val="001D38F5"/>
    <w:rsid w:val="001D4042"/>
    <w:rsid w:val="001D458C"/>
    <w:rsid w:val="001D4EF4"/>
    <w:rsid w:val="001D5973"/>
    <w:rsid w:val="001D74CC"/>
    <w:rsid w:val="001E0063"/>
    <w:rsid w:val="001E06A6"/>
    <w:rsid w:val="001E31D7"/>
    <w:rsid w:val="001E321D"/>
    <w:rsid w:val="001E4F6C"/>
    <w:rsid w:val="001E5D98"/>
    <w:rsid w:val="001E6096"/>
    <w:rsid w:val="001E63BE"/>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191E"/>
    <w:rsid w:val="002434FA"/>
    <w:rsid w:val="002439C3"/>
    <w:rsid w:val="002441C6"/>
    <w:rsid w:val="0024447C"/>
    <w:rsid w:val="002449A1"/>
    <w:rsid w:val="0024592F"/>
    <w:rsid w:val="00251642"/>
    <w:rsid w:val="0025295F"/>
    <w:rsid w:val="00252AD9"/>
    <w:rsid w:val="00255140"/>
    <w:rsid w:val="00257563"/>
    <w:rsid w:val="00257E0D"/>
    <w:rsid w:val="00261406"/>
    <w:rsid w:val="002619FE"/>
    <w:rsid w:val="00261C11"/>
    <w:rsid w:val="00270392"/>
    <w:rsid w:val="00271BCB"/>
    <w:rsid w:val="00271E4F"/>
    <w:rsid w:val="00272305"/>
    <w:rsid w:val="00272F97"/>
    <w:rsid w:val="00275270"/>
    <w:rsid w:val="0027600D"/>
    <w:rsid w:val="00276F0F"/>
    <w:rsid w:val="0028056A"/>
    <w:rsid w:val="0028240F"/>
    <w:rsid w:val="002852EE"/>
    <w:rsid w:val="0029179F"/>
    <w:rsid w:val="00292326"/>
    <w:rsid w:val="00294DD3"/>
    <w:rsid w:val="00295361"/>
    <w:rsid w:val="00296348"/>
    <w:rsid w:val="00297E1A"/>
    <w:rsid w:val="00297E2B"/>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6F67"/>
    <w:rsid w:val="002C722D"/>
    <w:rsid w:val="002D04D0"/>
    <w:rsid w:val="002D3409"/>
    <w:rsid w:val="002D5E95"/>
    <w:rsid w:val="002D76B2"/>
    <w:rsid w:val="002D7905"/>
    <w:rsid w:val="002D7B20"/>
    <w:rsid w:val="002E0797"/>
    <w:rsid w:val="002E1047"/>
    <w:rsid w:val="002E1476"/>
    <w:rsid w:val="002E319D"/>
    <w:rsid w:val="002E3299"/>
    <w:rsid w:val="002E4985"/>
    <w:rsid w:val="002E4E6F"/>
    <w:rsid w:val="002E5A09"/>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272D3"/>
    <w:rsid w:val="00330E7E"/>
    <w:rsid w:val="00330EF0"/>
    <w:rsid w:val="00332598"/>
    <w:rsid w:val="00333C15"/>
    <w:rsid w:val="00336762"/>
    <w:rsid w:val="00337023"/>
    <w:rsid w:val="003376C4"/>
    <w:rsid w:val="00342D9D"/>
    <w:rsid w:val="00342E7E"/>
    <w:rsid w:val="003440CB"/>
    <w:rsid w:val="00347B20"/>
    <w:rsid w:val="003504A0"/>
    <w:rsid w:val="00352A1D"/>
    <w:rsid w:val="00353816"/>
    <w:rsid w:val="00356D88"/>
    <w:rsid w:val="00361CCF"/>
    <w:rsid w:val="00361F0C"/>
    <w:rsid w:val="00362047"/>
    <w:rsid w:val="00364257"/>
    <w:rsid w:val="00364A0C"/>
    <w:rsid w:val="00371B64"/>
    <w:rsid w:val="003738EA"/>
    <w:rsid w:val="00374FF0"/>
    <w:rsid w:val="00375491"/>
    <w:rsid w:val="0037672C"/>
    <w:rsid w:val="00376E91"/>
    <w:rsid w:val="003822A8"/>
    <w:rsid w:val="00383DCC"/>
    <w:rsid w:val="00386A4E"/>
    <w:rsid w:val="00386C51"/>
    <w:rsid w:val="00387362"/>
    <w:rsid w:val="00390C9A"/>
    <w:rsid w:val="00390FCA"/>
    <w:rsid w:val="003910CE"/>
    <w:rsid w:val="00392494"/>
    <w:rsid w:val="00394A95"/>
    <w:rsid w:val="00396306"/>
    <w:rsid w:val="00397742"/>
    <w:rsid w:val="00397891"/>
    <w:rsid w:val="003A1CBC"/>
    <w:rsid w:val="003A6BB9"/>
    <w:rsid w:val="003B07D0"/>
    <w:rsid w:val="003B4151"/>
    <w:rsid w:val="003B669C"/>
    <w:rsid w:val="003B7583"/>
    <w:rsid w:val="003B786E"/>
    <w:rsid w:val="003C37BA"/>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3F79DA"/>
    <w:rsid w:val="00400F77"/>
    <w:rsid w:val="00401B67"/>
    <w:rsid w:val="00401FA4"/>
    <w:rsid w:val="0040389D"/>
    <w:rsid w:val="0040450B"/>
    <w:rsid w:val="0041273F"/>
    <w:rsid w:val="00416E56"/>
    <w:rsid w:val="0041724E"/>
    <w:rsid w:val="00417DFD"/>
    <w:rsid w:val="00421790"/>
    <w:rsid w:val="0042204E"/>
    <w:rsid w:val="00426325"/>
    <w:rsid w:val="00437A33"/>
    <w:rsid w:val="00441C38"/>
    <w:rsid w:val="004469A3"/>
    <w:rsid w:val="00451A2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10"/>
    <w:rsid w:val="004946E0"/>
    <w:rsid w:val="00495E6D"/>
    <w:rsid w:val="004A1602"/>
    <w:rsid w:val="004A5137"/>
    <w:rsid w:val="004A51A8"/>
    <w:rsid w:val="004B49EE"/>
    <w:rsid w:val="004B4D89"/>
    <w:rsid w:val="004B516E"/>
    <w:rsid w:val="004C0796"/>
    <w:rsid w:val="004C0E26"/>
    <w:rsid w:val="004C343D"/>
    <w:rsid w:val="004C5277"/>
    <w:rsid w:val="004C65BA"/>
    <w:rsid w:val="004C6632"/>
    <w:rsid w:val="004D2423"/>
    <w:rsid w:val="004D314E"/>
    <w:rsid w:val="004D3884"/>
    <w:rsid w:val="004D5BA8"/>
    <w:rsid w:val="004D5BBA"/>
    <w:rsid w:val="004E0748"/>
    <w:rsid w:val="004E0AA6"/>
    <w:rsid w:val="004E1B9F"/>
    <w:rsid w:val="004E2FBD"/>
    <w:rsid w:val="004E728E"/>
    <w:rsid w:val="004F002A"/>
    <w:rsid w:val="004F0AAB"/>
    <w:rsid w:val="004F23F6"/>
    <w:rsid w:val="004F25D0"/>
    <w:rsid w:val="004F47B7"/>
    <w:rsid w:val="004F743F"/>
    <w:rsid w:val="004F7C1B"/>
    <w:rsid w:val="00500A8F"/>
    <w:rsid w:val="00501C05"/>
    <w:rsid w:val="005043E9"/>
    <w:rsid w:val="005060F9"/>
    <w:rsid w:val="005109DD"/>
    <w:rsid w:val="0051106C"/>
    <w:rsid w:val="00512BAE"/>
    <w:rsid w:val="00517DEB"/>
    <w:rsid w:val="00520C0E"/>
    <w:rsid w:val="0052189D"/>
    <w:rsid w:val="00521E29"/>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6730"/>
    <w:rsid w:val="00547E75"/>
    <w:rsid w:val="00555016"/>
    <w:rsid w:val="00556212"/>
    <w:rsid w:val="00557BD7"/>
    <w:rsid w:val="005606AC"/>
    <w:rsid w:val="00563243"/>
    <w:rsid w:val="00563F4C"/>
    <w:rsid w:val="00564768"/>
    <w:rsid w:val="005669D8"/>
    <w:rsid w:val="0057138A"/>
    <w:rsid w:val="00572B6E"/>
    <w:rsid w:val="00572E88"/>
    <w:rsid w:val="00573138"/>
    <w:rsid w:val="005762B0"/>
    <w:rsid w:val="00584716"/>
    <w:rsid w:val="005849E3"/>
    <w:rsid w:val="00584E4F"/>
    <w:rsid w:val="00584E6C"/>
    <w:rsid w:val="005868F6"/>
    <w:rsid w:val="00586D6C"/>
    <w:rsid w:val="0058733F"/>
    <w:rsid w:val="0058799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68A7"/>
    <w:rsid w:val="005C77FB"/>
    <w:rsid w:val="005C7CC0"/>
    <w:rsid w:val="005D05E0"/>
    <w:rsid w:val="005D0683"/>
    <w:rsid w:val="005D0C9C"/>
    <w:rsid w:val="005D2B29"/>
    <w:rsid w:val="005D50CE"/>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A92"/>
    <w:rsid w:val="00607EE7"/>
    <w:rsid w:val="00610167"/>
    <w:rsid w:val="006107DC"/>
    <w:rsid w:val="0061228A"/>
    <w:rsid w:val="006127A2"/>
    <w:rsid w:val="0061473E"/>
    <w:rsid w:val="00617A76"/>
    <w:rsid w:val="00621ED0"/>
    <w:rsid w:val="00622238"/>
    <w:rsid w:val="0062266A"/>
    <w:rsid w:val="00624BB2"/>
    <w:rsid w:val="00631511"/>
    <w:rsid w:val="006316FD"/>
    <w:rsid w:val="006319FF"/>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D00"/>
    <w:rsid w:val="00670ED6"/>
    <w:rsid w:val="006712E6"/>
    <w:rsid w:val="00671458"/>
    <w:rsid w:val="00671702"/>
    <w:rsid w:val="00673E32"/>
    <w:rsid w:val="006740B4"/>
    <w:rsid w:val="00674734"/>
    <w:rsid w:val="00675013"/>
    <w:rsid w:val="0067541F"/>
    <w:rsid w:val="00676CA3"/>
    <w:rsid w:val="00676DF8"/>
    <w:rsid w:val="00684D38"/>
    <w:rsid w:val="006858D5"/>
    <w:rsid w:val="00687DBB"/>
    <w:rsid w:val="00696B1C"/>
    <w:rsid w:val="0069732D"/>
    <w:rsid w:val="006A2B5F"/>
    <w:rsid w:val="006A32C4"/>
    <w:rsid w:val="006A72B8"/>
    <w:rsid w:val="006B2E55"/>
    <w:rsid w:val="006B5070"/>
    <w:rsid w:val="006B576E"/>
    <w:rsid w:val="006C127C"/>
    <w:rsid w:val="006C1F05"/>
    <w:rsid w:val="006C2070"/>
    <w:rsid w:val="006C3523"/>
    <w:rsid w:val="006C4426"/>
    <w:rsid w:val="006C54FD"/>
    <w:rsid w:val="006C70AC"/>
    <w:rsid w:val="006D2C29"/>
    <w:rsid w:val="006D5B15"/>
    <w:rsid w:val="006D5C62"/>
    <w:rsid w:val="006D642C"/>
    <w:rsid w:val="006E3A9C"/>
    <w:rsid w:val="006E6FAA"/>
    <w:rsid w:val="006F038D"/>
    <w:rsid w:val="00700EA9"/>
    <w:rsid w:val="0070255A"/>
    <w:rsid w:val="0070385E"/>
    <w:rsid w:val="007045DC"/>
    <w:rsid w:val="00705BEF"/>
    <w:rsid w:val="00706179"/>
    <w:rsid w:val="007113DD"/>
    <w:rsid w:val="0071430B"/>
    <w:rsid w:val="007176E7"/>
    <w:rsid w:val="00720659"/>
    <w:rsid w:val="0072201D"/>
    <w:rsid w:val="00722539"/>
    <w:rsid w:val="00733292"/>
    <w:rsid w:val="0073607E"/>
    <w:rsid w:val="00736663"/>
    <w:rsid w:val="007370F3"/>
    <w:rsid w:val="007423FD"/>
    <w:rsid w:val="0074285A"/>
    <w:rsid w:val="00746B58"/>
    <w:rsid w:val="00755EE3"/>
    <w:rsid w:val="00757990"/>
    <w:rsid w:val="00760C7A"/>
    <w:rsid w:val="007619AD"/>
    <w:rsid w:val="007621CB"/>
    <w:rsid w:val="00762330"/>
    <w:rsid w:val="00762492"/>
    <w:rsid w:val="007640E0"/>
    <w:rsid w:val="007652B1"/>
    <w:rsid w:val="00770616"/>
    <w:rsid w:val="00770E19"/>
    <w:rsid w:val="00772E22"/>
    <w:rsid w:val="0077332B"/>
    <w:rsid w:val="00774257"/>
    <w:rsid w:val="00775505"/>
    <w:rsid w:val="00776AE1"/>
    <w:rsid w:val="00776C3B"/>
    <w:rsid w:val="00780093"/>
    <w:rsid w:val="007822A7"/>
    <w:rsid w:val="00783EA8"/>
    <w:rsid w:val="00785B98"/>
    <w:rsid w:val="00785C31"/>
    <w:rsid w:val="007863D2"/>
    <w:rsid w:val="00793276"/>
    <w:rsid w:val="00793833"/>
    <w:rsid w:val="007968A7"/>
    <w:rsid w:val="007969A5"/>
    <w:rsid w:val="007973DE"/>
    <w:rsid w:val="007A01B4"/>
    <w:rsid w:val="007A03BE"/>
    <w:rsid w:val="007A07E5"/>
    <w:rsid w:val="007A136C"/>
    <w:rsid w:val="007A14CE"/>
    <w:rsid w:val="007A385D"/>
    <w:rsid w:val="007A3D2E"/>
    <w:rsid w:val="007A3E79"/>
    <w:rsid w:val="007A463F"/>
    <w:rsid w:val="007A5F86"/>
    <w:rsid w:val="007A7362"/>
    <w:rsid w:val="007A7876"/>
    <w:rsid w:val="007B0667"/>
    <w:rsid w:val="007B5A17"/>
    <w:rsid w:val="007B648A"/>
    <w:rsid w:val="007B7729"/>
    <w:rsid w:val="007C1F23"/>
    <w:rsid w:val="007C2153"/>
    <w:rsid w:val="007C3FED"/>
    <w:rsid w:val="007C42BE"/>
    <w:rsid w:val="007C5242"/>
    <w:rsid w:val="007C6171"/>
    <w:rsid w:val="007C66DE"/>
    <w:rsid w:val="007D007C"/>
    <w:rsid w:val="007D0768"/>
    <w:rsid w:val="007D224F"/>
    <w:rsid w:val="007D42D0"/>
    <w:rsid w:val="007D4624"/>
    <w:rsid w:val="007D62F3"/>
    <w:rsid w:val="007E0376"/>
    <w:rsid w:val="007E0C8A"/>
    <w:rsid w:val="007E0E50"/>
    <w:rsid w:val="007E1D53"/>
    <w:rsid w:val="007E3816"/>
    <w:rsid w:val="007E513A"/>
    <w:rsid w:val="007E7DB6"/>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20C"/>
    <w:rsid w:val="008267EE"/>
    <w:rsid w:val="0083050D"/>
    <w:rsid w:val="00832E9B"/>
    <w:rsid w:val="00836B16"/>
    <w:rsid w:val="00840584"/>
    <w:rsid w:val="008432ED"/>
    <w:rsid w:val="00843F7D"/>
    <w:rsid w:val="008450F3"/>
    <w:rsid w:val="0084637C"/>
    <w:rsid w:val="00847D03"/>
    <w:rsid w:val="00855260"/>
    <w:rsid w:val="00860271"/>
    <w:rsid w:val="0086227D"/>
    <w:rsid w:val="008630C6"/>
    <w:rsid w:val="00863FEE"/>
    <w:rsid w:val="008653E0"/>
    <w:rsid w:val="008730BB"/>
    <w:rsid w:val="00880B5C"/>
    <w:rsid w:val="00881CA9"/>
    <w:rsid w:val="0088262F"/>
    <w:rsid w:val="00882E11"/>
    <w:rsid w:val="00883821"/>
    <w:rsid w:val="0088500C"/>
    <w:rsid w:val="008853E0"/>
    <w:rsid w:val="0088679A"/>
    <w:rsid w:val="00887A6C"/>
    <w:rsid w:val="0089014A"/>
    <w:rsid w:val="008902CF"/>
    <w:rsid w:val="00890A58"/>
    <w:rsid w:val="00891840"/>
    <w:rsid w:val="008947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14D9"/>
    <w:rsid w:val="00913572"/>
    <w:rsid w:val="00913775"/>
    <w:rsid w:val="00915CCD"/>
    <w:rsid w:val="00915EF9"/>
    <w:rsid w:val="009171E7"/>
    <w:rsid w:val="00917A3B"/>
    <w:rsid w:val="00920413"/>
    <w:rsid w:val="0092087F"/>
    <w:rsid w:val="0092377F"/>
    <w:rsid w:val="009308D8"/>
    <w:rsid w:val="00930DF7"/>
    <w:rsid w:val="00934E70"/>
    <w:rsid w:val="00936821"/>
    <w:rsid w:val="00936E5D"/>
    <w:rsid w:val="00936E96"/>
    <w:rsid w:val="00937BC2"/>
    <w:rsid w:val="00940EEF"/>
    <w:rsid w:val="0094276A"/>
    <w:rsid w:val="00942C75"/>
    <w:rsid w:val="0094470D"/>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178D"/>
    <w:rsid w:val="0098274E"/>
    <w:rsid w:val="00983752"/>
    <w:rsid w:val="00983EF6"/>
    <w:rsid w:val="009842C2"/>
    <w:rsid w:val="00985B74"/>
    <w:rsid w:val="00986DD7"/>
    <w:rsid w:val="00987939"/>
    <w:rsid w:val="009927BE"/>
    <w:rsid w:val="00994EDE"/>
    <w:rsid w:val="009959F3"/>
    <w:rsid w:val="00995FFE"/>
    <w:rsid w:val="009A11C1"/>
    <w:rsid w:val="009A27F7"/>
    <w:rsid w:val="009A292D"/>
    <w:rsid w:val="009A4CAF"/>
    <w:rsid w:val="009A69B5"/>
    <w:rsid w:val="009A7299"/>
    <w:rsid w:val="009B0A5E"/>
    <w:rsid w:val="009B0D73"/>
    <w:rsid w:val="009B1292"/>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42FE"/>
    <w:rsid w:val="009D72F9"/>
    <w:rsid w:val="009E18AF"/>
    <w:rsid w:val="009E4A3B"/>
    <w:rsid w:val="009E5D88"/>
    <w:rsid w:val="009E73AD"/>
    <w:rsid w:val="009F0653"/>
    <w:rsid w:val="009F09C7"/>
    <w:rsid w:val="009F2C78"/>
    <w:rsid w:val="009F632A"/>
    <w:rsid w:val="009F7FCB"/>
    <w:rsid w:val="00A00B17"/>
    <w:rsid w:val="00A01568"/>
    <w:rsid w:val="00A01C4B"/>
    <w:rsid w:val="00A1042E"/>
    <w:rsid w:val="00A112C1"/>
    <w:rsid w:val="00A1794D"/>
    <w:rsid w:val="00A207E1"/>
    <w:rsid w:val="00A20EDD"/>
    <w:rsid w:val="00A220C6"/>
    <w:rsid w:val="00A234D0"/>
    <w:rsid w:val="00A2358C"/>
    <w:rsid w:val="00A2398B"/>
    <w:rsid w:val="00A256C1"/>
    <w:rsid w:val="00A2663A"/>
    <w:rsid w:val="00A30D1A"/>
    <w:rsid w:val="00A31C85"/>
    <w:rsid w:val="00A32C2E"/>
    <w:rsid w:val="00A33A9E"/>
    <w:rsid w:val="00A35160"/>
    <w:rsid w:val="00A45DC2"/>
    <w:rsid w:val="00A478C6"/>
    <w:rsid w:val="00A5260B"/>
    <w:rsid w:val="00A55EF1"/>
    <w:rsid w:val="00A61F62"/>
    <w:rsid w:val="00A623DF"/>
    <w:rsid w:val="00A62D1A"/>
    <w:rsid w:val="00A64903"/>
    <w:rsid w:val="00A67B5E"/>
    <w:rsid w:val="00A71385"/>
    <w:rsid w:val="00A72E16"/>
    <w:rsid w:val="00A73593"/>
    <w:rsid w:val="00A73893"/>
    <w:rsid w:val="00A73AD6"/>
    <w:rsid w:val="00A74436"/>
    <w:rsid w:val="00A76003"/>
    <w:rsid w:val="00A766E2"/>
    <w:rsid w:val="00A76D78"/>
    <w:rsid w:val="00A83140"/>
    <w:rsid w:val="00A8421B"/>
    <w:rsid w:val="00A843DA"/>
    <w:rsid w:val="00A84830"/>
    <w:rsid w:val="00A8598E"/>
    <w:rsid w:val="00A955D9"/>
    <w:rsid w:val="00A96197"/>
    <w:rsid w:val="00A96B80"/>
    <w:rsid w:val="00A96DEB"/>
    <w:rsid w:val="00AA2334"/>
    <w:rsid w:val="00AA4DC4"/>
    <w:rsid w:val="00AB05C6"/>
    <w:rsid w:val="00AB2E11"/>
    <w:rsid w:val="00AB3244"/>
    <w:rsid w:val="00AB66D7"/>
    <w:rsid w:val="00AB694F"/>
    <w:rsid w:val="00AC32C6"/>
    <w:rsid w:val="00AD5601"/>
    <w:rsid w:val="00AD7BA1"/>
    <w:rsid w:val="00AE0267"/>
    <w:rsid w:val="00AE41FD"/>
    <w:rsid w:val="00AF1933"/>
    <w:rsid w:val="00AF5247"/>
    <w:rsid w:val="00AF78C6"/>
    <w:rsid w:val="00AF7CB4"/>
    <w:rsid w:val="00B00961"/>
    <w:rsid w:val="00B01ADE"/>
    <w:rsid w:val="00B06BA6"/>
    <w:rsid w:val="00B104B7"/>
    <w:rsid w:val="00B114E9"/>
    <w:rsid w:val="00B11567"/>
    <w:rsid w:val="00B12237"/>
    <w:rsid w:val="00B12F3C"/>
    <w:rsid w:val="00B133E0"/>
    <w:rsid w:val="00B21C23"/>
    <w:rsid w:val="00B22EB0"/>
    <w:rsid w:val="00B22F82"/>
    <w:rsid w:val="00B24A6A"/>
    <w:rsid w:val="00B24FF7"/>
    <w:rsid w:val="00B2543C"/>
    <w:rsid w:val="00B26192"/>
    <w:rsid w:val="00B262CD"/>
    <w:rsid w:val="00B27B19"/>
    <w:rsid w:val="00B27D9C"/>
    <w:rsid w:val="00B316D1"/>
    <w:rsid w:val="00B33B11"/>
    <w:rsid w:val="00B33C5E"/>
    <w:rsid w:val="00B355CB"/>
    <w:rsid w:val="00B3755D"/>
    <w:rsid w:val="00B40A66"/>
    <w:rsid w:val="00B41090"/>
    <w:rsid w:val="00B416F0"/>
    <w:rsid w:val="00B50CF4"/>
    <w:rsid w:val="00B57332"/>
    <w:rsid w:val="00B57B39"/>
    <w:rsid w:val="00B60E9C"/>
    <w:rsid w:val="00B616D6"/>
    <w:rsid w:val="00B64E19"/>
    <w:rsid w:val="00B6632A"/>
    <w:rsid w:val="00B67C18"/>
    <w:rsid w:val="00B67D4F"/>
    <w:rsid w:val="00B74F9C"/>
    <w:rsid w:val="00B769E3"/>
    <w:rsid w:val="00B801E0"/>
    <w:rsid w:val="00B80489"/>
    <w:rsid w:val="00B83422"/>
    <w:rsid w:val="00B841C1"/>
    <w:rsid w:val="00B8765A"/>
    <w:rsid w:val="00B955B3"/>
    <w:rsid w:val="00BA0CB1"/>
    <w:rsid w:val="00BA15F6"/>
    <w:rsid w:val="00BA733D"/>
    <w:rsid w:val="00BB0CAA"/>
    <w:rsid w:val="00BB11A8"/>
    <w:rsid w:val="00BB2026"/>
    <w:rsid w:val="00BB2634"/>
    <w:rsid w:val="00BB3B92"/>
    <w:rsid w:val="00BB798A"/>
    <w:rsid w:val="00BC1BD9"/>
    <w:rsid w:val="00BC2BC9"/>
    <w:rsid w:val="00BC3B43"/>
    <w:rsid w:val="00BC52DF"/>
    <w:rsid w:val="00BC5535"/>
    <w:rsid w:val="00BD0BB7"/>
    <w:rsid w:val="00BD1289"/>
    <w:rsid w:val="00BD21C2"/>
    <w:rsid w:val="00BD3F00"/>
    <w:rsid w:val="00BD6A1A"/>
    <w:rsid w:val="00BE02A7"/>
    <w:rsid w:val="00BE0B8D"/>
    <w:rsid w:val="00BE2788"/>
    <w:rsid w:val="00BE3265"/>
    <w:rsid w:val="00BE6F4C"/>
    <w:rsid w:val="00BE7E70"/>
    <w:rsid w:val="00BF00E9"/>
    <w:rsid w:val="00BF260D"/>
    <w:rsid w:val="00BF460C"/>
    <w:rsid w:val="00BF5F9C"/>
    <w:rsid w:val="00BF64D4"/>
    <w:rsid w:val="00C02F99"/>
    <w:rsid w:val="00C03770"/>
    <w:rsid w:val="00C05D8E"/>
    <w:rsid w:val="00C06B20"/>
    <w:rsid w:val="00C06CBE"/>
    <w:rsid w:val="00C123C3"/>
    <w:rsid w:val="00C126DF"/>
    <w:rsid w:val="00C15DBB"/>
    <w:rsid w:val="00C174C2"/>
    <w:rsid w:val="00C22473"/>
    <w:rsid w:val="00C22E2C"/>
    <w:rsid w:val="00C25076"/>
    <w:rsid w:val="00C277CB"/>
    <w:rsid w:val="00C3376D"/>
    <w:rsid w:val="00C34A52"/>
    <w:rsid w:val="00C369C9"/>
    <w:rsid w:val="00C40DC7"/>
    <w:rsid w:val="00C444EA"/>
    <w:rsid w:val="00C45521"/>
    <w:rsid w:val="00C50DF8"/>
    <w:rsid w:val="00C5114A"/>
    <w:rsid w:val="00C53125"/>
    <w:rsid w:val="00C55BB5"/>
    <w:rsid w:val="00C57F33"/>
    <w:rsid w:val="00C64953"/>
    <w:rsid w:val="00C7370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1EC"/>
    <w:rsid w:val="00CB6A55"/>
    <w:rsid w:val="00CC06D4"/>
    <w:rsid w:val="00CC1890"/>
    <w:rsid w:val="00CC33CC"/>
    <w:rsid w:val="00CC480B"/>
    <w:rsid w:val="00CC72C5"/>
    <w:rsid w:val="00CC7310"/>
    <w:rsid w:val="00CD332E"/>
    <w:rsid w:val="00CD41C2"/>
    <w:rsid w:val="00CD521B"/>
    <w:rsid w:val="00CD6985"/>
    <w:rsid w:val="00CD7DBD"/>
    <w:rsid w:val="00CE06FC"/>
    <w:rsid w:val="00CE4117"/>
    <w:rsid w:val="00CE4335"/>
    <w:rsid w:val="00CE665F"/>
    <w:rsid w:val="00CF197E"/>
    <w:rsid w:val="00CF5040"/>
    <w:rsid w:val="00D007F9"/>
    <w:rsid w:val="00D0229F"/>
    <w:rsid w:val="00D03331"/>
    <w:rsid w:val="00D073EA"/>
    <w:rsid w:val="00D12776"/>
    <w:rsid w:val="00D12D35"/>
    <w:rsid w:val="00D12D70"/>
    <w:rsid w:val="00D14169"/>
    <w:rsid w:val="00D17DB4"/>
    <w:rsid w:val="00D2092D"/>
    <w:rsid w:val="00D236EA"/>
    <w:rsid w:val="00D31AFE"/>
    <w:rsid w:val="00D332D6"/>
    <w:rsid w:val="00D346FC"/>
    <w:rsid w:val="00D35444"/>
    <w:rsid w:val="00D3691D"/>
    <w:rsid w:val="00D371C4"/>
    <w:rsid w:val="00D41ADE"/>
    <w:rsid w:val="00D4296D"/>
    <w:rsid w:val="00D431ED"/>
    <w:rsid w:val="00D4515A"/>
    <w:rsid w:val="00D458F7"/>
    <w:rsid w:val="00D4648E"/>
    <w:rsid w:val="00D471D1"/>
    <w:rsid w:val="00D50A2B"/>
    <w:rsid w:val="00D50E81"/>
    <w:rsid w:val="00D560EF"/>
    <w:rsid w:val="00D56A55"/>
    <w:rsid w:val="00D60EC2"/>
    <w:rsid w:val="00D634D8"/>
    <w:rsid w:val="00D63C2D"/>
    <w:rsid w:val="00D651FF"/>
    <w:rsid w:val="00D65A32"/>
    <w:rsid w:val="00D67F92"/>
    <w:rsid w:val="00D71DEB"/>
    <w:rsid w:val="00D7374F"/>
    <w:rsid w:val="00D73882"/>
    <w:rsid w:val="00D74A71"/>
    <w:rsid w:val="00D80609"/>
    <w:rsid w:val="00D81766"/>
    <w:rsid w:val="00D82BB6"/>
    <w:rsid w:val="00D83EBA"/>
    <w:rsid w:val="00D8505B"/>
    <w:rsid w:val="00D85062"/>
    <w:rsid w:val="00D956BF"/>
    <w:rsid w:val="00D96CBF"/>
    <w:rsid w:val="00DA100A"/>
    <w:rsid w:val="00DA205E"/>
    <w:rsid w:val="00DA25AD"/>
    <w:rsid w:val="00DA41DB"/>
    <w:rsid w:val="00DA73E5"/>
    <w:rsid w:val="00DA7689"/>
    <w:rsid w:val="00DB0090"/>
    <w:rsid w:val="00DB1679"/>
    <w:rsid w:val="00DC2F1C"/>
    <w:rsid w:val="00DC2F84"/>
    <w:rsid w:val="00DC4BA2"/>
    <w:rsid w:val="00DC6B7F"/>
    <w:rsid w:val="00DD3EC5"/>
    <w:rsid w:val="00DD4C8D"/>
    <w:rsid w:val="00DD6134"/>
    <w:rsid w:val="00DD7FB4"/>
    <w:rsid w:val="00DE0FD4"/>
    <w:rsid w:val="00DE2BA1"/>
    <w:rsid w:val="00DE378F"/>
    <w:rsid w:val="00DE477C"/>
    <w:rsid w:val="00DE7B41"/>
    <w:rsid w:val="00DE7CB6"/>
    <w:rsid w:val="00DF1C7E"/>
    <w:rsid w:val="00DF269B"/>
    <w:rsid w:val="00DF3FB5"/>
    <w:rsid w:val="00DF4AB0"/>
    <w:rsid w:val="00DF66EE"/>
    <w:rsid w:val="00DF6776"/>
    <w:rsid w:val="00E00245"/>
    <w:rsid w:val="00E00371"/>
    <w:rsid w:val="00E02F16"/>
    <w:rsid w:val="00E04CF5"/>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51831"/>
    <w:rsid w:val="00E61308"/>
    <w:rsid w:val="00E61E70"/>
    <w:rsid w:val="00E632DC"/>
    <w:rsid w:val="00E64653"/>
    <w:rsid w:val="00E64D3E"/>
    <w:rsid w:val="00E67E38"/>
    <w:rsid w:val="00E7528B"/>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6005"/>
    <w:rsid w:val="00EB7ED2"/>
    <w:rsid w:val="00EC13B3"/>
    <w:rsid w:val="00EC43C8"/>
    <w:rsid w:val="00EC50AC"/>
    <w:rsid w:val="00EC7313"/>
    <w:rsid w:val="00ED1341"/>
    <w:rsid w:val="00ED1806"/>
    <w:rsid w:val="00ED205C"/>
    <w:rsid w:val="00ED36BD"/>
    <w:rsid w:val="00ED3F02"/>
    <w:rsid w:val="00ED457C"/>
    <w:rsid w:val="00EE0709"/>
    <w:rsid w:val="00EE0B92"/>
    <w:rsid w:val="00EE0F0E"/>
    <w:rsid w:val="00EE12C8"/>
    <w:rsid w:val="00EE2860"/>
    <w:rsid w:val="00EE68D2"/>
    <w:rsid w:val="00EF14B7"/>
    <w:rsid w:val="00EF388D"/>
    <w:rsid w:val="00EF3F0F"/>
    <w:rsid w:val="00EF44AD"/>
    <w:rsid w:val="00EF530C"/>
    <w:rsid w:val="00EF5FD6"/>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443EF"/>
    <w:rsid w:val="00F5205D"/>
    <w:rsid w:val="00F55BF5"/>
    <w:rsid w:val="00F60CF6"/>
    <w:rsid w:val="00F62AEB"/>
    <w:rsid w:val="00F635F6"/>
    <w:rsid w:val="00F639C2"/>
    <w:rsid w:val="00F655F3"/>
    <w:rsid w:val="00F66894"/>
    <w:rsid w:val="00F66A6D"/>
    <w:rsid w:val="00F66BA3"/>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5587"/>
    <w:rsid w:val="00FC6127"/>
    <w:rsid w:val="00FC7A4D"/>
    <w:rsid w:val="00FD08A0"/>
    <w:rsid w:val="00FD1F63"/>
    <w:rsid w:val="00FD2E42"/>
    <w:rsid w:val="00FD4A92"/>
    <w:rsid w:val="00FD4AA6"/>
    <w:rsid w:val="00FD53CC"/>
    <w:rsid w:val="00FE070E"/>
    <w:rsid w:val="00FE1AA9"/>
    <w:rsid w:val="00FE2B9E"/>
    <w:rsid w:val="00FE4679"/>
    <w:rsid w:val="00FE6123"/>
    <w:rsid w:val="00FE6555"/>
    <w:rsid w:val="00FE6E03"/>
    <w:rsid w:val="00FF442C"/>
    <w:rsid w:val="00FF51E1"/>
    <w:rsid w:val="00FF5862"/>
    <w:rsid w:val="00FF6DFD"/>
    <w:rsid w:val="08892A0A"/>
    <w:rsid w:val="0D5F08A5"/>
    <w:rsid w:val="0DFF319D"/>
    <w:rsid w:val="160F7351"/>
    <w:rsid w:val="166C66DA"/>
    <w:rsid w:val="1B7C4C6A"/>
    <w:rsid w:val="1F147517"/>
    <w:rsid w:val="21047ED1"/>
    <w:rsid w:val="215F12DE"/>
    <w:rsid w:val="237B0F4A"/>
    <w:rsid w:val="25C05861"/>
    <w:rsid w:val="26C7050D"/>
    <w:rsid w:val="297F38ED"/>
    <w:rsid w:val="304316A4"/>
    <w:rsid w:val="31386135"/>
    <w:rsid w:val="351705A2"/>
    <w:rsid w:val="3BF561E7"/>
    <w:rsid w:val="3C962C19"/>
    <w:rsid w:val="3EBC0522"/>
    <w:rsid w:val="455E4BC2"/>
    <w:rsid w:val="484C4B90"/>
    <w:rsid w:val="48DC283F"/>
    <w:rsid w:val="4AE32CD6"/>
    <w:rsid w:val="4C1F304A"/>
    <w:rsid w:val="546B3CFC"/>
    <w:rsid w:val="56A943CB"/>
    <w:rsid w:val="5A171034"/>
    <w:rsid w:val="5D310996"/>
    <w:rsid w:val="6000160F"/>
    <w:rsid w:val="62B14C4E"/>
    <w:rsid w:val="63BA0C03"/>
    <w:rsid w:val="6E081C2E"/>
    <w:rsid w:val="76433D5F"/>
    <w:rsid w:val="7BBE11D7"/>
    <w:rsid w:val="7BF7DC0D"/>
    <w:rsid w:val="7DE66163"/>
    <w:rsid w:val="7FFF227F"/>
    <w:rsid w:val="DFDF1F17"/>
    <w:rsid w:val="FBDAEB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47AF9F0-E718-4C29-8D75-E6A07DDBE100}">
  <ds:schemaRefs/>
</ds:datastoreItem>
</file>

<file path=docProps/app.xml><?xml version="1.0" encoding="utf-8"?>
<Properties xmlns="http://schemas.openxmlformats.org/officeDocument/2006/extended-properties" xmlns:vt="http://schemas.openxmlformats.org/officeDocument/2006/docPropsVTypes">
  <Company>Microsoft</Company>
  <Pages>3</Pages>
  <Words>1464</Words>
  <Characters>1631</Characters>
  <Lines>3</Lines>
  <Paragraphs>3</Paragraphs>
  <TotalTime>17</TotalTime>
  <ScaleCrop>false</ScaleCrop>
  <LinksUpToDate>false</LinksUpToDate>
  <CharactersWithSpaces>1652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2025-06-29T17:01:00Z</dcterms:created>
  <dc:creator>全美国际教育协会</dc:creator>
  <cp:lastModifiedBy>目所能及是阳光</cp:lastModifiedBy>
  <cp:lastPrinted>2011-12-17T16:54:00Z</cp:lastPrinted>
  <dcterms:modified xsi:type="dcterms:W3CDTF">2025-11-13T06:35:11Z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E6D4F9A902D64D24998B7FEBD00C9C3B_13</vt:lpwstr>
  </property>
  <property fmtid="{D5CDD505-2E9C-101B-9397-08002B2CF9AE}" pid="4" name="KSOTemplateDocerSaveRecord">
    <vt:lpwstr>eyJoZGlkIjoiY2EyYmRiM2YxM2UwODdmMGMxYTM4ZDMyYWZhYjk3MmEiLCJ1c2VySWQiOiIyNDcxODkxMjAifQ==</vt:lpwstr>
  </property>
</Properties>
</file>